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淮北市委党校2023年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2023年2月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2、部门预算构成</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3、2023年度主要工作任务</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2023年部门预算表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1、淮北市委党校2023年收支总表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2、淮北市委党校2023年收入总表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3、淮北市委党校2023年支出总表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4、淮北市委党校2023年财政拨款收支总表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5、淮北市委党校2023年一般公共预算支出表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6、淮北市委党校2023年一般公共预算基本支出表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7、淮北市委党校2023年政府性基金预算支出表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8、淮北市委党校2023年国有资本经营预算支出表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9、淮北市委党校2023年项目支出表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10、淮北市委党校2023年政府采购支出表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11、淮北市委党校2023年政府购买服务支出表</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2023年部门预算情况说明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1、关于2023年收支总表的说明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2、关于2023年收入总表的说明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3、关于2023年支出总表的说明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4、关于2023年财政拨款收支总表的说明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5、关于2023年一般公共预算支出表的说明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6、关于2023年一般公共预算基本支出表的说明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7、关于2023年政府性基金预算支出表的说明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8、关于2023年国有资本经营预算支出表的说明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9、关于2023年项目支出表的说明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10、关于2023年政府采购支出表的说明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11、关于2023年政府购买服务支出表的说明</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1、淮北市委党校2023年部门预算纳入绩效考评项目表</w:t>
      </w:r>
    </w:p>
    <w:p>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2、淮北市委党校2023年部门预算专项资金管理清单（专栏公开）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Pr>
        <w:keepNext w:val="0"/>
        <w:keepLines w:val="0"/>
        <w:pageBreakBefore w:val="0"/>
        <w:kinsoku/>
        <w:wordWrap/>
        <w:overflowPunct/>
        <w:topLinePunct w:val="0"/>
        <w:autoSpaceDE/>
        <w:autoSpaceDN/>
        <w:bidi w:val="0"/>
        <w:spacing w:beforeAutospacing="0" w:afterAutospacing="0" w:line="560" w:lineRule="exact"/>
        <w:textAlignment w:val="auto"/>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（一）根据中央、省委和市委对干部队伍建设的要求，有计划地轮训和培训县处级领导干部、中青年干部、理论骨干、科级干部、任职公务员、初任公务员及党外干部。</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（二）围绕党的中心任务和市委、市政府的重大战略部署，对重大现实问题开展专题研究，为教学和社会实践服务，为市委、市政府科学决策服务。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（三）做好学员在校期间表现的考核工作，并根据干部的政治理论素质和工作能力提出使用建议。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（四）负责指导县、区委党校工作。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（五）完成市委交办的其他工作。</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淮北市委党</w:t>
      </w:r>
      <w:r>
        <w:rPr>
          <w:rFonts w:hint="default" w:ascii="Times New Roman" w:hAnsi="Times New Roman" w:eastAsia="仿宋_GB2312" w:cs="Times New Roman"/>
          <w:bCs/>
          <w:sz w:val="32"/>
          <w:szCs w:val="32"/>
        </w:rPr>
        <w:t>校</w:t>
      </w:r>
      <w:r>
        <w:rPr>
          <w:rFonts w:hint="default" w:ascii="Times New Roman" w:hAnsi="Times New Roman" w:eastAsia="仿宋_GB2312" w:cs="Times New Roman"/>
          <w:sz w:val="32"/>
          <w:szCs w:val="32"/>
        </w:rPr>
        <w:t>2023年度部门预算仅包括</w:t>
      </w: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本级预算，无其他下属单位预算。</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三、2023年度主要工作任务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（一）坚持以习近平新时代中国特色社会主义思想为指导,深入贯彻落实党的二十大会议精神,按照市委组织部下达的调学计划，抓好培训班、轮训班、专题班等各类班次的培训工作。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（二）加大科研力度，打造精品课题、撰写高质量科研成果，推动科研工作再上新台阶，更好地为教学和社会实践服务，更好地为市委、市政府科学决策服务。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（三）扎实做好全省党校系统办学质量评估的各项准备工作。</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按照省委党校要求，切实抓好在职研究生办学工作。</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深化教学、科研、行政后勤改革，提高教学科研和服务保障水平。</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加强和市直部门、县区之间的协调沟通，积极开展联合办学工作，不断推动干部培训工作。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2023年部门预算表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t xml:space="preserve">                                        </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2023年部门预算情况说明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一、关于2023年收支总表的说明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委党校所有收入和支出均纳入部门预算管理。淮北市委党校2023年收支总预算3257.29万元，收入包括一般公共预算拨款收入、政府性基金预算拨款收入、财政专户管理资金收入，支出包括：干部教育支出、社会保障和就业支出、卫生健康支出、住房保障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二、关于2023年收入总表的说明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淮北市委党校2023年收入预算3257.29万元，其中，本年收入3257.29万元。</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本年收入3257.29万元，</w:t>
      </w:r>
      <w:r>
        <w:rPr>
          <w:rFonts w:hint="default" w:ascii="Times New Roman" w:hAnsi="Times New Roman" w:eastAsia="仿宋_GB2312" w:cs="Times New Roman"/>
          <w:kern w:val="0"/>
          <w:sz w:val="32"/>
          <w:szCs w:val="32"/>
        </w:rPr>
        <w:t>主要包括：一般公共预算拨款收入2587.29万元，占79.43%，比2022年预算增加994.21万元，增长62.41%，原因主要是</w:t>
      </w:r>
      <w:r>
        <w:rPr>
          <w:rFonts w:hint="default" w:ascii="Times New Roman" w:hAnsi="Times New Roman" w:eastAsia="仿宋_GB2312" w:cs="Times New Roman"/>
          <w:sz w:val="32"/>
          <w:szCs w:val="32"/>
        </w:rPr>
        <w:t>人员增加导致工资、社保等支出增长以及非税收入纳入国库管理</w:t>
      </w:r>
      <w:r>
        <w:rPr>
          <w:rFonts w:hint="default" w:ascii="Times New Roman" w:hAnsi="Times New Roman" w:eastAsia="仿宋_GB2312" w:cs="Times New Roman"/>
          <w:kern w:val="0"/>
          <w:sz w:val="32"/>
          <w:szCs w:val="32"/>
        </w:rPr>
        <w:t>；政府性基金预算拨款收入0万元，占0%，</w:t>
      </w:r>
      <w:r>
        <w:rPr>
          <w:rFonts w:hint="eastAsia" w:ascii="Times New Roman" w:hAnsi="Times New Roman" w:eastAsia="仿宋_GB2312" w:cs="Times New Roman"/>
          <w:kern w:val="0"/>
          <w:sz w:val="32"/>
          <w:szCs w:val="32"/>
          <w:lang w:eastAsia="zh-CN"/>
        </w:rPr>
        <w:t>与</w:t>
      </w:r>
      <w:r>
        <w:rPr>
          <w:rFonts w:hint="default" w:ascii="Times New Roman" w:hAnsi="Times New Roman" w:eastAsia="仿宋_GB2312" w:cs="Times New Roman"/>
          <w:kern w:val="0"/>
          <w:sz w:val="32"/>
          <w:szCs w:val="32"/>
        </w:rPr>
        <w:t>2022年预算相比无变化，原因主要是</w:t>
      </w:r>
      <w:r>
        <w:rPr>
          <w:rFonts w:hint="default" w:ascii="Times New Roman" w:hAnsi="Times New Roman" w:eastAsia="仿宋_GB2312" w:cs="Times New Roman"/>
          <w:sz w:val="32"/>
          <w:szCs w:val="32"/>
        </w:rPr>
        <w:t>无政府性基金预算支出</w:t>
      </w:r>
      <w:r>
        <w:rPr>
          <w:rFonts w:hint="default" w:ascii="Times New Roman" w:hAnsi="Times New Roman" w:eastAsia="仿宋_GB2312" w:cs="Times New Roman"/>
          <w:kern w:val="0"/>
          <w:sz w:val="32"/>
          <w:szCs w:val="32"/>
        </w:rPr>
        <w:t>；财政专户管理资金收入670万元，占20.57%，比2022年预算增加344万元，增长105.52%，原因主要是</w:t>
      </w:r>
      <w:r>
        <w:rPr>
          <w:rFonts w:hint="default" w:ascii="Times New Roman" w:hAnsi="Times New Roman" w:eastAsia="仿宋_GB2312" w:cs="Times New Roman"/>
          <w:sz w:val="32"/>
          <w:szCs w:val="32"/>
        </w:rPr>
        <w:t>党校二期工程室内设施采购支出增长。</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三、关于2023年支出总表的说明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淮北市委党校2023年支出预算</w:t>
      </w:r>
      <w:r>
        <w:rPr>
          <w:rFonts w:hint="default" w:ascii="Times New Roman" w:hAnsi="Times New Roman" w:eastAsia="仿宋_GB2312" w:cs="Times New Roman"/>
          <w:b w:val="0"/>
          <w:bCs/>
          <w:kern w:val="0"/>
          <w:sz w:val="32"/>
          <w:szCs w:val="32"/>
        </w:rPr>
        <w:t>3257.29</w:t>
      </w:r>
      <w:r>
        <w:rPr>
          <w:rFonts w:hint="default" w:ascii="Times New Roman" w:hAnsi="Times New Roman" w:eastAsia="仿宋_GB2312" w:cs="Times New Roman"/>
          <w:kern w:val="0"/>
          <w:sz w:val="32"/>
          <w:szCs w:val="32"/>
        </w:rPr>
        <w:t>万元，比2022年预算增加994.21万元，增长62.41%，原因主要是培训人员增加和党校二期建设工程支出。其中，基本支出1621.39万元，占49.78%，主要用于保障机构日常运转、完成日常工作任务；项目支出1636万元，占50.22%，主要用于党校科研教学经费及二期建设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四、关于2023年财政拨款收支总表的说明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财政拨款收支预算2587.29万元。收入按资金来源分为：一般公共预算拨款2587.29万元、政府性基金预算拨款0万元；按资金年度分为：本年财政拨款收入2587.29万元。支出按功能分类分为：干部教育支出1974.72万元，占76.32%；社会保障和就业支出382.71万元，占14.79%；卫生健康支出76.53万元，占2.96%；住房保障支出153.33 万元，占5.93%。</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五、关于2023年一般公共预算支出表的说明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淮北市委党校2023年一般公共预算支出2587.29万元，比2022年预算增加994.21万元，增长62.41%，主要原因：一是培训人员增加；二是党校二期建设工程支出；三是非税收入纳入国库管理。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干部教育支出1974.72万元，占76.32%；社会保障和就业支出382.71万元，占14.79%；卫生健康支出76.53万元，占2.96%；住房保障支出153.33万元，占5.93%。</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1.教育支出（类）进修及培训（款）干部教育（项）2023年预算1974.72万元，比2022年预算增加794.57万元，增长67.33%，增长原因主要是培训学员增加和非税收入纳入国库管理后支出资金属性随之变化。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2.社会保障和就业支出（类）行政事业单位养老支出（款）行政单位离退休（项）2023年预算185.59万元，比2022年预算增加138.17万元，增长291.34%，增长原因主要是统计口径发生变化。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3.社会保障和就业支出（类）行政事业单位养老支出（款）机关事业单位基本养老保险缴费支出（项）2023年预算129.47万元，比2022年预算增加48.64万元，增长60.17%，增长原因主要是在编在岗教职工数增加。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4.社会保障和就业支出（类）行政事业单位养老支出（款）机关事业单位职业年金缴费支出（项）2023年预算64.74万元，比2022年预算增加24.32万元，增长60.17%，增长原因主要是在编在岗教职工数增加。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5.社会保障和就业支出（类）其他社会保障和就业支出（款）其他社会保障和就业支出（项）2023年预算2.91万元，比2022年预算增加0.88万元，增长43.27%，增长原因主要是在职人员增加。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6.卫生健康支出（类）行政事业单位医疗（款）行政单位医疗（项）2023年预算48.86万元，比2022年预算增加6.42万元，增长15.13%，增长原因主要是在职人员增加。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7.卫生健康支出（类）行政事业单位医疗（款）公务员医疗补助（项）2023年预算27.68万元，比2022年预算增加2.63万元，增长10.5%，增长原因主要是在职人员增加。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8.住房保障支出（类）住房改革支出（款）住房公积金（项）2023年预算108.24万元，比2022年预算增加22.54万元，增长26.30%，增长原因主要是在职人员增加。</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9.住房保障支出（类）住房改革支出（款）购房补贴（项）　2023年预算45.70万元，比2022年预算增加9.39万元，增长26.3%，增长原因主要是在职人员增加。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六、关于2023年一般公共预算基本支出表的说明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淮北市委党校2023年一般公共预算基本支出1621.29万元，其中，人员经费1493.9万元，公用经费127.39万元。</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（一）人员经费1493.9万元，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其他工资福利支出、离休费、抚恤金、生活补助、医疗费补助、助学金、对其他个人和家庭的补助支出。</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（二）公用经费127.39万元，</w:t>
      </w:r>
      <w:r>
        <w:rPr>
          <w:rFonts w:hint="default" w:ascii="Times New Roman" w:hAnsi="Times New Roman" w:eastAsia="仿宋_GB2312" w:cs="Times New Roman"/>
          <w:kern w:val="0"/>
          <w:sz w:val="32"/>
          <w:szCs w:val="32"/>
        </w:rPr>
        <w:t>主要包括：</w:t>
      </w:r>
      <w:r>
        <w:rPr>
          <w:rFonts w:hint="default" w:ascii="Times New Roman" w:hAnsi="Times New Roman" w:eastAsia="仿宋_GB2312" w:cs="Times New Roman"/>
          <w:sz w:val="32"/>
          <w:szCs w:val="32"/>
        </w:rPr>
        <w:t>办公费、培训费、公务接待费、工会经费、福利费、其他交通费用、其他商品和服务支出等</w:t>
      </w:r>
      <w:r>
        <w:rPr>
          <w:rFonts w:hint="default" w:ascii="Times New Roman" w:hAnsi="Times New Roman" w:eastAsia="仿宋_GB2312" w:cs="Times New Roman"/>
          <w:kern w:val="0"/>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七、关于2023年政府性基金预算支出表的说明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淮北市委党校2023年没有政府性基金预算拨款收入，也没有使用政府性基金预算拨款安排的支出。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八、关于2023年国有资本经营预算支出表的说明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淮北市委党校2023年没有国有资本经营预算拨款收入，也没有使用国有资本经营预算拨款安排的支出。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九、关于2023年项目支出表的说明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预算共安排项目支出1636万元，比2022年预算增加770万元，增长88.91%，原因主要是培训人员增加和党校二期建设工程支出。主要包括：本年财政拨款安排966万元（其中，一般公共预算拨款安排966万元，政府性基金预算拨款安排0万元），财政专户管理资金安排670万元。</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十、关于2023年政府采购支出表的说明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预算安排政府采购支出261.05万元，比2022年预算增加14.12万元，增长5.72%，原因主要是党校采购货物等支出增加。其中，一般公共预算安排261.05万元，占100%；政府性基金预算安排0万元，占0%；财政专户管理资金安排0万元，占0%。</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十一、关于2023年政府购买服务支出表的说明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淮北市委党校2023年预算安排政府购买服务支出249万元，比2022年预算增加5.07万元，增长2.08%，原因主要是培训人数增加，相应支出增加。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1、“党校办学、科研经费”项目。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根据我市干部教育培训规划和任务的要求和市委关于党校工作的相关规定，我校需举办各种类型的培训班次；深化理论研究，紧扣党的二十大报告核心要义和精神实质，深化习近平新时代中国特色社会主义思想研究阐释，发表一批高质量理论文章。加强对我市转型发展等重大问题研究，形成调研成果，为市委市政府决策提供依据。</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（2）立项依据。《中国共产党党校（行政学院）工作条例》《社会主义学院工作暂行条例》《中共淮北市委关于加强和改进党校工作的意见》(淮发〔2010〕3号)</w:t>
      </w:r>
      <w:r>
        <w:rPr>
          <w:rFonts w:hint="default" w:ascii="Times New Roman" w:hAnsi="Times New Roman" w:eastAsia="仿宋_GB2312" w:cs="Times New Roman"/>
          <w:kern w:val="0"/>
          <w:sz w:val="32"/>
          <w:szCs w:val="32"/>
        </w:rPr>
        <w:tab/>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（4）起止时间。2023-2025年</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一是抓好干部教育培训。聚焦主责主业，立足教研咨宣核心工作，推动党的二十大精神进教材、进课堂、进头脑。进一步加强顶层设计，优化教学布局，积极推进课程体系建设。深化用学术讲政治教学改革，完善精品课打磨提升机制，精心打造一批样板课、示范课，逐步形成具有淮北特色、满足干部培训需要的课程体系。</w:t>
      </w:r>
    </w:p>
    <w:p>
      <w:pPr>
        <w:keepNext w:val="0"/>
        <w:keepLines w:val="0"/>
        <w:pageBreakBefore w:val="0"/>
        <w:kinsoku/>
        <w:wordWrap/>
        <w:overflowPunct/>
        <w:topLinePunct w:val="0"/>
        <w:autoSpaceDE/>
        <w:autoSpaceDN/>
        <w:bidi w:val="0"/>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二是抓好决策咨询工作。</w:t>
      </w:r>
      <w:r>
        <w:rPr>
          <w:rFonts w:hint="default" w:ascii="Times New Roman" w:hAnsi="Times New Roman" w:eastAsia="仿宋_GB2312" w:cs="Times New Roman"/>
          <w:sz w:val="32"/>
          <w:szCs w:val="32"/>
        </w:rPr>
        <w:t>《领导参考》全年10期以上的出版、责编、交流等；开展各项科研课题的调研。</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（6）年度预算安排。270万元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bookmarkStart w:id="0" w:name="_Hlk127312887"/>
            <w:r>
              <w:rPr>
                <w:rFonts w:hint="default" w:ascii="Times New Roman" w:hAnsi="Times New Roman"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党校办学、科研经费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中共淮北市委党校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2023-2025年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443" w:type="dxa"/>
            <w:gridSpan w:val="3"/>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目标1： 每年培训学员不少于600人次。</w:t>
            </w:r>
          </w:p>
          <w:p>
            <w:pPr>
              <w:rPr>
                <w:rFonts w:hint="default" w:ascii="Times New Roman" w:hAnsi="Times New Roman" w:cs="Times New Roman"/>
                <w:sz w:val="20"/>
                <w:szCs w:val="20"/>
              </w:rPr>
            </w:pPr>
            <w:r>
              <w:rPr>
                <w:rFonts w:hint="default" w:ascii="Times New Roman" w:hAnsi="Times New Roman" w:cs="Times New Roman"/>
                <w:sz w:val="20"/>
                <w:szCs w:val="20"/>
              </w:rPr>
              <w:t>目标2：每年培训班不少于10期。</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目标3：每年《领导参考》全年10期以上的出版、责编、交流等； </w:t>
            </w:r>
          </w:p>
          <w:p>
            <w:pPr>
              <w:jc w:val="left"/>
              <w:rPr>
                <w:rFonts w:hint="default" w:ascii="Times New Roman" w:hAnsi="Times New Roman" w:cs="Times New Roman"/>
                <w:sz w:val="20"/>
              </w:rPr>
            </w:pPr>
            <w:r>
              <w:rPr>
                <w:rFonts w:hint="default" w:ascii="Times New Roman" w:hAnsi="Times New Roman" w:cs="Times New Roman"/>
                <w:sz w:val="20"/>
                <w:szCs w:val="20"/>
              </w:rPr>
              <w:t>目标4：省级以上、市级、校级课题的调研活动的顺利开展。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培训课时数量</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≥500课时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公开发表论文数量</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培训班次</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经费支出合规性</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培训出勤率</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培训完成时间</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经费支出时效性</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项目总成本</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对经济发展的影响程度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对单位履职、促进事业发展的影响或提升程度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对培训人员综合素质的改善或提升程度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对生态效益的影响程度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培训工作为经济和社会发展提供长期人才储备程度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pPr>
              <w:jc w:val="center"/>
              <w:rPr>
                <w:rFonts w:hint="default" w:ascii="Times New Roman" w:hAnsi="Times New Roman" w:cs="Times New Roman"/>
                <w:sz w:val="20"/>
              </w:rPr>
            </w:pPr>
          </w:p>
        </w:tc>
        <w:tc>
          <w:tcPr>
            <w:tcW w:w="2872" w:type="dxa"/>
            <w:tcBorders>
              <w:tl2br w:val="nil"/>
              <w:tr2bl w:val="nil"/>
            </w:tcBorders>
            <w:vAlign w:val="bottom"/>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对单位履职、促进事业发展的持续影响程度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受训学员满意度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r>
      <w:bookmarkEnd w:id="0"/>
    </w:tbl>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2、“二期工程室内设施采购”项目。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（1）项目概述。购买二期工程所需会议桌椅、家具、信息化设备等。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（2）立项依据。依据党校二期工程项目批复。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（3）实施主体。中共淮北市委党校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（4）起止时间。2023年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（5）项目内容。购买二期工程所需会议桌椅、家具、信息化设备等。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（6）年度预算安排。670万元。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二期工程室内设施采购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中共淮北市委党校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目标1：完成二期学员公寓、教学楼信息化建设。</w:t>
            </w:r>
          </w:p>
          <w:p>
            <w:pPr>
              <w:rPr>
                <w:rFonts w:hint="default" w:ascii="Times New Roman" w:hAnsi="Times New Roman" w:cs="Times New Roman"/>
                <w:sz w:val="20"/>
                <w:szCs w:val="20"/>
              </w:rPr>
            </w:pPr>
            <w:r>
              <w:rPr>
                <w:rFonts w:hint="default" w:ascii="Times New Roman" w:hAnsi="Times New Roman" w:cs="Times New Roman"/>
                <w:sz w:val="20"/>
                <w:szCs w:val="20"/>
              </w:rPr>
              <w:t>目标2：完成学员公寓、教学楼家具招标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采购数量情况</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经费支出合规性</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采购计划完成时间</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项目总成本</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≤6700000元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对经济发展的影响程度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对单位履职、促进事业发展的影响程度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对减少污染排放量的影响程度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对单位履职、促进事业发展的持续影响程度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pPr>
              <w:jc w:val="both"/>
              <w:rPr>
                <w:rFonts w:hint="default" w:ascii="Times New Roman" w:hAnsi="Times New Roman" w:cs="Times New Roman"/>
              </w:rPr>
            </w:pPr>
            <w:r>
              <w:rPr>
                <w:rFonts w:hint="default" w:ascii="Times New Roman" w:hAnsi="Times New Roman" w:cs="Times New Roman"/>
              </w:rPr>
              <w:t>学员满意度</w:t>
            </w:r>
          </w:p>
        </w:tc>
        <w:tc>
          <w:tcPr>
            <w:tcW w:w="4228" w:type="dxa"/>
            <w:gridSpan w:val="2"/>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≥90%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淮北市委党校2023年机关运行经费财政拨款预算127.39万元，比2022年预算增加10.76万元，增长9.23%，原因主要是</w:t>
      </w:r>
      <w:r>
        <w:rPr>
          <w:rFonts w:hint="default" w:ascii="Times New Roman" w:hAnsi="Times New Roman" w:eastAsia="仿宋_GB2312" w:cs="Times New Roman"/>
          <w:sz w:val="32"/>
          <w:szCs w:val="32"/>
        </w:rPr>
        <w:t>在职员工增加</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淮北市委党校2023年政府采购预算261.05万元。其中：政府采购货物预算16.05万元，政府采购工程预算0万元，政府采购服务预算245万元。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截至2022年12月31日，淮北市委党校共有车辆0辆</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单价50万元以上的通用设备</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台（套），单价100万元以上的专用设备0台（套）。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2023年部门预算安排购置公务用车0辆，购置费0万元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安排购置单价50万元以上的通用设备0台（套），购置费0万元；安排购置单价100万元以上专用设备0台（套），购置费0万元。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2023年，淮北市委党校</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966</w:t>
      </w:r>
      <w:r>
        <w:rPr>
          <w:rFonts w:hint="default" w:ascii="Times New Roman" w:hAnsi="Times New Roman" w:eastAsia="仿宋_GB2312" w:cs="Times New Roman"/>
          <w:kern w:val="0"/>
          <w:sz w:val="32"/>
          <w:szCs w:val="32"/>
        </w:rPr>
        <w:t>万元、政府性基金预算当年财政拨款0万元、财政专户管理资金当年安排670万元。</w:t>
      </w:r>
    </w:p>
    <w:p>
      <w:pPr>
        <w:keepNext w:val="0"/>
        <w:keepLines w:val="0"/>
        <w:pageBreakBefore w:val="0"/>
        <w:widowControl w:val="0"/>
        <w:kinsoku/>
        <w:wordWrap/>
        <w:overflowPunct/>
        <w:topLinePunct w:val="0"/>
        <w:autoSpaceDE/>
        <w:autoSpaceDN/>
        <w:bidi w:val="0"/>
        <w:spacing w:line="560" w:lineRule="exact"/>
        <w:textAlignment w:val="auto"/>
      </w:pPr>
      <w:bookmarkStart w:id="1" w:name="_GoBack"/>
      <w:bookmarkEnd w:id="1"/>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六、机关运行经费: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Lucida Console"/>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435"/>
    <w:rsid w:val="00276F83"/>
    <w:rsid w:val="002A7356"/>
    <w:rsid w:val="004F5EA6"/>
    <w:rsid w:val="0061305E"/>
    <w:rsid w:val="006423DC"/>
    <w:rsid w:val="00735435"/>
    <w:rsid w:val="007B0B74"/>
    <w:rsid w:val="00C308F5"/>
    <w:rsid w:val="00CA74CF"/>
    <w:rsid w:val="00CB7013"/>
    <w:rsid w:val="066E0632"/>
    <w:rsid w:val="0BC4417D"/>
    <w:rsid w:val="0F0345FE"/>
    <w:rsid w:val="11E60061"/>
    <w:rsid w:val="13A36505"/>
    <w:rsid w:val="13A43336"/>
    <w:rsid w:val="16CA6D8D"/>
    <w:rsid w:val="170D19BD"/>
    <w:rsid w:val="17940667"/>
    <w:rsid w:val="1DA428F1"/>
    <w:rsid w:val="2B323AA6"/>
    <w:rsid w:val="2C7B63A9"/>
    <w:rsid w:val="2ECE1C70"/>
    <w:rsid w:val="30F85B31"/>
    <w:rsid w:val="324923B5"/>
    <w:rsid w:val="38713DFF"/>
    <w:rsid w:val="39995A97"/>
    <w:rsid w:val="3FF550EC"/>
    <w:rsid w:val="452571C2"/>
    <w:rsid w:val="51AA25AD"/>
    <w:rsid w:val="52E3415A"/>
    <w:rsid w:val="58451344"/>
    <w:rsid w:val="5997285B"/>
    <w:rsid w:val="5E38380B"/>
    <w:rsid w:val="60F068AB"/>
    <w:rsid w:val="640656EE"/>
    <w:rsid w:val="6D4C0F64"/>
    <w:rsid w:val="77AD0148"/>
    <w:rsid w:val="7944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0"/>
    <w:rPr>
      <w:rFonts w:ascii="Calibri" w:hAnsi="Calibri" w:cs="黑体"/>
      <w:kern w:val="2"/>
      <w:sz w:val="18"/>
      <w:szCs w:val="18"/>
    </w:rPr>
  </w:style>
  <w:style w:type="character" w:customStyle="1" w:styleId="8">
    <w:name w:val="页脚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1038</Words>
  <Characters>5919</Characters>
  <Lines>49</Lines>
  <Paragraphs>13</Paragraphs>
  <TotalTime>27</TotalTime>
  <ScaleCrop>false</ScaleCrop>
  <LinksUpToDate>false</LinksUpToDate>
  <CharactersWithSpaces>6944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孙翔宇</cp:lastModifiedBy>
  <cp:lastPrinted>2023-02-15T03:12:00Z</cp:lastPrinted>
  <dcterms:modified xsi:type="dcterms:W3CDTF">2023-02-15T09:01:11Z</dcterms:modified>
  <dc:title>附件1-1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