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委党校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p>
      <w:pPr>
        <w:ind w:firstLine="6720" w:firstLineChars="2100"/>
        <w:rPr>
          <w:rFonts w:ascii="黑体" w:hAnsi="黑体" w:eastAsia="黑体"/>
          <w:szCs w:val="32"/>
        </w:rPr>
      </w:pPr>
      <w:r>
        <w:rPr>
          <w:rFonts w:hint="eastAsia" w:ascii="仿宋_GB2312" w:hAnsi="仿宋_GB2312" w:cs="仿宋_GB2312"/>
          <w:szCs w:val="32"/>
        </w:rPr>
        <w:t>单位：万元</w:t>
      </w:r>
    </w:p>
    <w:tbl>
      <w:tblPr>
        <w:tblStyle w:val="4"/>
        <w:tblpPr w:leftFromText="180" w:rightFromText="180" w:vertAnchor="text" w:horzAnchor="margin" w:tblpY="45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4.24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5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4.24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84.8</w:t>
      </w:r>
      <w:r>
        <w:rPr>
          <w:rFonts w:hint="eastAsia" w:ascii="仿宋_GB2312" w:hAnsi="仿宋"/>
          <w:szCs w:val="32"/>
        </w:rPr>
        <w:t>%，决算数小于预算数的主要原因是党校严格遵守规章制度，厉行节约，“三公”经费支出大幅下降</w:t>
      </w:r>
      <w:r>
        <w:rPr>
          <w:rFonts w:hint="eastAsia" w:ascii="仿宋_GB2312" w:hAnsi="仿宋"/>
          <w:szCs w:val="32"/>
          <w:lang w:eastAsia="zh-CN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4.24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100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。2020年淮北市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人次。该项经费根据市外办批准的因公临时出国（境）计划，按照规定标准安排。主要是用于党校系统组织的业务培训、调研考察等外事活动。。经费使用严格相关规定执行。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4.24</w:t>
      </w:r>
      <w:r>
        <w:rPr>
          <w:rFonts w:hint="eastAsia" w:ascii="仿宋_GB2312" w:hAnsi="仿宋"/>
          <w:szCs w:val="32"/>
        </w:rPr>
        <w:t>万元, 与2020年度预算相比，减少</w:t>
      </w:r>
      <w:r>
        <w:rPr>
          <w:rFonts w:hint="eastAsia" w:ascii="仿宋_GB2312" w:hAnsi="仿宋"/>
          <w:szCs w:val="32"/>
          <w:lang w:val="en-US" w:eastAsia="zh-CN"/>
        </w:rPr>
        <w:t>0.76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15.2</w:t>
      </w:r>
      <w:r>
        <w:rPr>
          <w:rFonts w:hint="eastAsia" w:ascii="仿宋_GB2312" w:hAnsi="仿宋"/>
          <w:szCs w:val="32"/>
        </w:rPr>
        <w:t>%，下降的原因是党校严格遵守规章制度，厉行节约，“三公”经费支出大幅下降。2020年淮北市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20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120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人次）。主要是用于招商接待、省委党校等单位业务指导和工作调研等公务往来支出。经费使用严格贯彻党中央“八项规定”要求，严格执行《党政机关厉行节约反对浪费条例》、淮北市公务接待相关规定等。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。其中，</w:t>
      </w:r>
      <w:r>
        <w:rPr>
          <w:rFonts w:hint="eastAsia" w:ascii="仿宋_GB2312" w:hAnsi="仿宋"/>
          <w:szCs w:val="32"/>
          <w:lang w:eastAsia="zh-CN"/>
        </w:rPr>
        <w:t>公务用车购置费</w:t>
      </w:r>
      <w:r>
        <w:rPr>
          <w:rFonts w:hint="eastAsia" w:ascii="仿宋_GB2312" w:hAnsi="仿宋"/>
          <w:szCs w:val="32"/>
          <w:lang w:val="en-US" w:eastAsia="zh-CN"/>
        </w:rPr>
        <w:t>0万元，</w:t>
      </w:r>
      <w:r>
        <w:rPr>
          <w:rFonts w:hint="eastAsia" w:ascii="仿宋_GB2312" w:hAnsi="仿宋"/>
          <w:szCs w:val="32"/>
        </w:rPr>
        <w:t>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bookmarkStart w:id="0" w:name="_GoBack"/>
      <w:bookmarkEnd w:id="0"/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万元，与2020年度预算相比，</w:t>
      </w:r>
      <w:r>
        <w:rPr>
          <w:rFonts w:hint="eastAsia" w:ascii="仿宋_GB2312" w:hAnsi="仿宋"/>
          <w:szCs w:val="32"/>
          <w:lang w:eastAsia="zh-CN"/>
        </w:rPr>
        <w:t>无变化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。公务用车运行维护费，包括车辆燃料费、维修费、过路过桥费、保险费等支出，主要用于日常公务、财政监督检查、政策调研等。截至2020年12月31日，淮北市</w:t>
      </w:r>
      <w:r>
        <w:rPr>
          <w:rFonts w:hint="eastAsia" w:ascii="仿宋_GB2312" w:hAnsi="仿宋"/>
          <w:szCs w:val="32"/>
          <w:lang w:eastAsia="zh-CN"/>
        </w:rPr>
        <w:t>委党校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辆。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2C955AE9"/>
    <w:rsid w:val="32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0</TotalTime>
  <ScaleCrop>false</ScaleCrop>
  <LinksUpToDate>false</LinksUpToDate>
  <CharactersWithSpaces>1191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Administrator</cp:lastModifiedBy>
  <cp:lastPrinted>2020-09-14T08:17:00Z</cp:lastPrinted>
  <dcterms:modified xsi:type="dcterms:W3CDTF">2021-09-17T02:39:31Z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